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8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1763"/>
        <w:gridCol w:w="402"/>
        <w:gridCol w:w="383"/>
        <w:gridCol w:w="1841"/>
        <w:gridCol w:w="571"/>
        <w:gridCol w:w="1412"/>
        <w:gridCol w:w="565"/>
        <w:gridCol w:w="3124"/>
      </w:tblGrid>
      <w:tr>
        <w:trPr>
          <w:trHeight w:val="1184"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120" w:after="0"/>
              <w:rPr>
                <w:rFonts w:ascii="Arial" w:hAnsi="Arial"/>
                <w:b/>
              </w:rPr>
            </w:pPr>
            <w:r>
              <w:rPr>
                <w:rFonts w:ascii="Arial" w:hAnsi="Arial"/>
                <w:b/>
              </w:rPr>
              <w:t>evIMPORTANT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1"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1"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8" w:type="dxa"/>
            <w:gridSpan w:val="3"/>
            <w:tcBorders>
              <w:top w:val="single" w:sz="4" w:space="0" w:color="00000A"/>
              <w:left w:val="single" w:sz="4" w:space="0" w:color="00000A"/>
              <w:bottom w:val="nil"/>
              <w:insideH w:val="nil"/>
              <w:right w:val="nil"/>
              <w:insideV w:val="nil"/>
            </w:tcBorders>
            <w:shd w:fill="FFFFFF" w:val="clear"/>
            <w:tcMar>
              <w:left w:w="88"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8" w:type="dxa"/>
            <w:gridSpan w:val="3"/>
            <w:tcBorders>
              <w:top w:val="nil"/>
              <w:left w:val="single" w:sz="4" w:space="0" w:color="00000A"/>
              <w:bottom w:val="nil"/>
              <w:insideH w:val="nil"/>
              <w:right w:val="nil"/>
              <w:insideV w:val="nil"/>
            </w:tcBorders>
            <w:shd w:fill="FFFFFF" w:val="clear"/>
            <w:tcMar>
              <w:left w:w="88"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1"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120" w:after="0"/>
              <w:rPr>
                <w:rFonts w:ascii="Arial" w:hAnsi="Arial"/>
                <w:b/>
              </w:rPr>
            </w:pPr>
            <w:r>
              <w:rPr>
                <w:rFonts w:ascii="Arial" w:hAnsi="Arial"/>
                <w:b/>
              </w:rPr>
            </w:r>
          </w:p>
        </w:tc>
      </w:tr>
      <w:tr>
        <w:trPr>
          <w:trHeight w:val="431" w:hRule="atLeast"/>
          <w:cantSplit w:val="false"/>
        </w:trPr>
        <w:tc>
          <w:tcPr>
            <w:tcW w:w="2165" w:type="dxa"/>
            <w:gridSpan w:val="2"/>
            <w:tcBorders>
              <w:top w:val="single" w:sz="4" w:space="0" w:color="00000A"/>
              <w:left w:val="single" w:sz="4" w:space="0" w:color="00000A"/>
              <w:bottom w:val="nil"/>
              <w:insideH w:val="nil"/>
              <w:right w:val="nil"/>
              <w:insideV w:val="nil"/>
            </w:tcBorders>
            <w:shd w:fill="E6E6E6" w:val="clear"/>
            <w:tcMar>
              <w:left w:w="88" w:type="dxa"/>
            </w:tcMar>
          </w:tcPr>
          <w:p>
            <w:pPr>
              <w:pStyle w:val="Normal"/>
              <w:spacing w:before="120" w:after="0"/>
              <w:rPr>
                <w:rFonts w:ascii="Arial" w:hAnsi="Arial"/>
                <w:b/>
              </w:rPr>
            </w:pPr>
            <w:r>
              <w:rPr>
                <w:rFonts w:ascii="Arial" w:hAnsi="Arial"/>
                <w:b/>
              </w:rPr>
              <w:t>Our Postal Address:</w:t>
            </w:r>
          </w:p>
        </w:tc>
        <w:tc>
          <w:tcPr>
            <w:tcW w:w="4207"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5"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4"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3"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88" w:type="dxa"/>
            </w:tcMar>
          </w:tcPr>
          <w:p>
            <w:pPr>
              <w:pStyle w:val="Normal"/>
              <w:spacing w:before="120" w:after="0"/>
              <w:rPr>
                <w:rFonts w:ascii="Arial" w:hAnsi="Arial"/>
                <w:b/>
              </w:rPr>
            </w:pPr>
            <w:r>
              <w:rPr>
                <w:rFonts w:ascii="Arial" w:hAnsi="Arial"/>
                <w:b/>
              </w:rPr>
              <w:t>Telephone No:</w:t>
            </w:r>
          </w:p>
        </w:tc>
        <w:tc>
          <w:tcPr>
            <w:tcW w:w="2626"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1"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1"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0" w:type="dxa"/>
            <w:gridSpan w:val="5"/>
            <w:tcBorders>
              <w:top w:val="single" w:sz="4" w:space="0" w:color="00000A"/>
              <w:left w:val="single" w:sz="4" w:space="0" w:color="00000A"/>
              <w:bottom w:val="nil"/>
              <w:insideH w:val="nil"/>
              <w:right w:val="nil"/>
              <w:insideV w:val="nil"/>
            </w:tcBorders>
            <w:shd w:fill="FFFFFF" w:val="clear"/>
            <w:tcMar>
              <w:left w:w="88"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D/944/2015</w:t>
            </w:r>
          </w:p>
        </w:tc>
      </w:tr>
      <w:tr>
        <w:trPr>
          <w:trHeight w:val="431" w:hRule="atLeast"/>
          <w:cantSplit w:val="false"/>
        </w:trPr>
        <w:tc>
          <w:tcPr>
            <w:tcW w:w="4960" w:type="dxa"/>
            <w:gridSpan w:val="5"/>
            <w:tcBorders>
              <w:top w:val="nil"/>
              <w:left w:val="single" w:sz="4" w:space="0" w:color="00000A"/>
              <w:bottom w:val="nil"/>
              <w:insideH w:val="nil"/>
              <w:right w:val="nil"/>
              <w:insideV w:val="nil"/>
            </w:tcBorders>
            <w:shd w:fill="FFFFFF" w:val="clear"/>
            <w:tcMar>
              <w:left w:w="88"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Construct a medium density housing development comprised of 10 dwellings over two (2) lots; and Reduce the visitor car parking requirements associated with the dwellings; as shown on the plans accompanying the application</w:t>
            </w:r>
          </w:p>
        </w:tc>
      </w:tr>
      <w:tr>
        <w:trPr>
          <w:trHeight w:val="191" w:hRule="atLeast"/>
          <w:cantSplit w:val="false"/>
        </w:trPr>
        <w:tc>
          <w:tcPr>
            <w:tcW w:w="10061"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0" w:type="dxa"/>
            <w:gridSpan w:val="5"/>
            <w:tcBorders>
              <w:top w:val="nil"/>
              <w:left w:val="single" w:sz="4" w:space="0" w:color="00000A"/>
              <w:bottom w:val="nil"/>
              <w:insideH w:val="nil"/>
              <w:right w:val="nil"/>
              <w:insideV w:val="nil"/>
            </w:tcBorders>
            <w:shd w:fill="FFFFFF" w:val="clear"/>
            <w:tcMar>
              <w:left w:w="88"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704-706 Gilbert Road RESERVOIR VIC 3073</w:t>
            </w:r>
          </w:p>
        </w:tc>
      </w:tr>
      <w:tr>
        <w:trPr>
          <w:trHeight w:val="214" w:hRule="atLeast"/>
          <w:cantSplit w:val="false"/>
        </w:trPr>
        <w:tc>
          <w:tcPr>
            <w:tcW w:w="10061"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bottom"/>
          </w:tcPr>
          <w:p>
            <w:pPr>
              <w:pStyle w:val="Normal"/>
              <w:rPr>
                <w:rFonts w:ascii="Arial" w:hAnsi="Arial"/>
                <w:b/>
                <w:lang w:eastAsia="en-US"/>
              </w:rPr>
            </w:pPr>
            <w:r>
              <w:rPr>
                <w:rFonts w:ascii="Arial" w:hAnsi="Arial"/>
                <w:b/>
                <w:lang w:eastAsia="en-US"/>
              </w:rPr>
            </w:r>
          </w:p>
        </w:tc>
      </w:tr>
      <w:tr>
        <w:trPr>
          <w:trHeight w:val="431" w:hRule="atLeast"/>
          <w:cantSplit w:val="false"/>
        </w:trPr>
        <w:tc>
          <w:tcPr>
            <w:tcW w:w="4960" w:type="dxa"/>
            <w:gridSpan w:val="5"/>
            <w:tcBorders>
              <w:top w:val="single" w:sz="4" w:space="0" w:color="00000A"/>
              <w:left w:val="single" w:sz="4" w:space="0" w:color="00000A"/>
              <w:bottom w:val="nil"/>
              <w:insideH w:val="nil"/>
              <w:right w:val="nil"/>
              <w:insideV w:val="nil"/>
            </w:tcBorders>
            <w:shd w:fill="FFFFFF" w:val="clear"/>
            <w:tcMar>
              <w:left w:w="88"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SJB Planning</w:t>
            </w:r>
          </w:p>
        </w:tc>
      </w:tr>
      <w:tr>
        <w:trPr>
          <w:trHeight w:val="238" w:hRule="atLeast"/>
          <w:cantSplit w:val="false"/>
        </w:trPr>
        <w:tc>
          <w:tcPr>
            <w:tcW w:w="10061"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1"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1"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1"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ListParagraph"/>
              <w:numPr>
                <w:ilvl w:val="0"/>
                <w:numId w:val="3"/>
              </w:numPr>
              <w:spacing w:before="0" w:after="200"/>
              <w:contextualSpacing/>
              <w:jc w:val="both"/>
              <w:rPr>
                <w:rFonts w:ascii="Arial" w:hAnsi="Arial"/>
                <w:sz w:val="24"/>
                <w:szCs w:val="24"/>
              </w:rPr>
            </w:pPr>
            <w:r>
              <w:rPr>
                <w:rFonts w:ascii="Arial" w:hAnsi="Arial"/>
                <w:sz w:val="24"/>
                <w:szCs w:val="24"/>
              </w:rPr>
              <w:t xml:space="preserve">The car parking reduction replaces the mandatory </w:t>
            </w:r>
            <w:r>
              <w:rPr>
                <w:rFonts w:ascii="Arial" w:hAnsi="Arial"/>
                <w:sz w:val="24"/>
                <w:szCs w:val="24"/>
              </w:rPr>
              <w:t>2</w:t>
            </w:r>
            <w:r>
              <w:rPr>
                <w:rFonts w:ascii="Arial" w:hAnsi="Arial"/>
                <w:sz w:val="24"/>
                <w:szCs w:val="24"/>
              </w:rPr>
              <w:t xml:space="preserve"> spaces allocated for visitors with even more units. Thus parking is denied to visitors including removal trucks, trades people, the police, fire brigade, ambulance service and others.</w:t>
            </w:r>
          </w:p>
        </w:tc>
      </w:tr>
      <w:tr>
        <w:trPr>
          <w:trHeight w:val="431" w:hRule="atLeast"/>
          <w:cantSplit w:val="false"/>
        </w:trPr>
        <w:tc>
          <w:tcPr>
            <w:tcW w:w="10061"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8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6"/>
      <w:gridCol w:w="6805"/>
    </w:tblGrid>
    <w:tr>
      <w:trPr>
        <w:trHeight w:val="575" w:hRule="atLeast"/>
        <w:cantSplit w:val="false"/>
      </w:trPr>
      <w:tc>
        <w:tcPr>
          <w:tcW w:w="3256"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1"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